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572974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val="en-US"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</w:t>
      </w:r>
      <w:r w:rsidR="008A6952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Приложение  №</w:t>
      </w:r>
      <w:r w:rsidR="00EC337B"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</w:t>
      </w:r>
      <w:r w:rsidR="00107A2D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</w:t>
      </w:r>
      <w:r w:rsidR="00572974">
        <w:rPr>
          <w:rFonts w:ascii="Times New Roman" w:eastAsia="Times New Roman" w:hAnsi="Times New Roman" w:cs="Times New Roman"/>
          <w:bCs/>
          <w:spacing w:val="-15"/>
          <w:sz w:val="20"/>
          <w:szCs w:val="20"/>
          <w:lang w:val="en-US" w:eastAsia="ru-RU"/>
        </w:rPr>
        <w:t>9</w:t>
      </w:r>
      <w:bookmarkStart w:id="0" w:name="_GoBack"/>
      <w:bookmarkEnd w:id="0"/>
    </w:p>
    <w:p w:rsidR="00454043" w:rsidRPr="00EC337B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right"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к заключению  КСП  МО Гиагинский  район»</w:t>
      </w:r>
    </w:p>
    <w:p w:rsidR="00454043" w:rsidRPr="00EC337B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</w:t>
      </w:r>
      <w:r w:rsidR="008A6952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на годовой отчет об исполнении  бюджета</w:t>
      </w:r>
    </w:p>
    <w:p w:rsidR="00454043" w:rsidRPr="00454043" w:rsidRDefault="00454043" w:rsidP="00EC337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</w:t>
      </w:r>
      <w:r w:rsid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8A6952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  </w:t>
      </w:r>
      <w:r w:rsidR="00B32C69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</w:t>
      </w:r>
      <w:r w:rsidR="00101D08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МО  «Гиагинский  район» за  202</w:t>
      </w:r>
      <w:r w:rsidR="00644AD8" w:rsidRPr="0063478A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>1</w:t>
      </w:r>
      <w:r w:rsidRPr="00EC337B">
        <w:rPr>
          <w:rFonts w:ascii="Times New Roman" w:eastAsia="Times New Roman" w:hAnsi="Times New Roman" w:cs="Times New Roman"/>
          <w:bCs/>
          <w:spacing w:val="-15"/>
          <w:sz w:val="20"/>
          <w:szCs w:val="20"/>
          <w:lang w:eastAsia="ru-RU"/>
        </w:rPr>
        <w:t xml:space="preserve"> 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1E2CEF" w:rsidRPr="0063478A" w:rsidRDefault="00296AB1" w:rsidP="00B32C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  <w:r w:rsidR="00B32C69"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</w:p>
    <w:p w:rsidR="003E7A35" w:rsidRPr="003032EA" w:rsidRDefault="0061073B" w:rsidP="00B32C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Управления </w:t>
      </w:r>
      <w:r w:rsidR="00EE3C56"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культуры</w:t>
      </w:r>
      <w:r w:rsidR="003E0C47"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  <w:r w:rsidR="00B32C69"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101D08" w:rsidRPr="003032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202</w:t>
      </w:r>
      <w:r w:rsidR="00644AD8" w:rsidRPr="00644A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</w:t>
      </w:r>
      <w:r w:rsidR="003E7A35" w:rsidRPr="003032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год</w:t>
      </w:r>
    </w:p>
    <w:p w:rsidR="003E7A35" w:rsidRPr="003032EA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Pr="003032EA" w:rsidRDefault="00963A41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1D08" w:rsidRPr="003032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A3AD0" w:rsidRPr="003032E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3032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5D66" w:rsidRPr="003032E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44AD8" w:rsidRPr="00644A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42A3" w:rsidRPr="003032E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A3AD0" w:rsidRPr="003032EA" w:rsidRDefault="005A3AD0" w:rsidP="004B5BE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A35" w:rsidRPr="003032EA" w:rsidRDefault="003E7A35" w:rsidP="004B5BE6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0"/>
        <w:ind w:left="10" w:right="67" w:firstLine="5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296AB1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AB1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296AB1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264.4 Бюджетного кодекса Российской </w:t>
      </w:r>
      <w:proofErr w:type="gramStart"/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внешней проверки годовой бюджетной</w:t>
      </w:r>
      <w:r w:rsidR="00C15174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32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3032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3032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EE3C56" w:rsidRPr="003032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культуры</w:t>
      </w:r>
      <w:r w:rsidR="0061073B" w:rsidRPr="003032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3E0C47" w:rsidRPr="003032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proofErr w:type="gramEnd"/>
      <w:r w:rsidR="003E0C47" w:rsidRPr="003032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1073B" w:rsidRPr="003032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район».</w:t>
      </w:r>
    </w:p>
    <w:p w:rsidR="00586FC2" w:rsidRPr="003032EA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Предметом проверки являлась бюджетн</w:t>
      </w:r>
      <w:r w:rsidR="00E66B3B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ая отчетность, </w:t>
      </w:r>
      <w:r w:rsidR="001E2C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представленная </w:t>
      </w:r>
      <w:r w:rsidR="001E2CEF" w:rsidRPr="001E2C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</w:t>
      </w:r>
      <w:r w:rsidR="00101D08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февраля 202</w:t>
      </w:r>
      <w:r w:rsidR="00644AD8" w:rsidRPr="00644A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в составе следующих документов: 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Справка по заключению счетов бюджетного учета отчетного 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финансового года (ф.0503110)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E14C1" w:rsidRPr="003032EA" w:rsidRDefault="0059298E" w:rsidP="007E14C1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676CD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Расшифровка показателей, отраженных в справке по заключению </w:t>
      </w:r>
      <w:r w:rsidR="007E1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счетов бюджетного учета отчетного финансового года </w:t>
      </w:r>
      <w:r w:rsidR="007E14C1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(ф.0503110);</w:t>
      </w:r>
    </w:p>
    <w:p w:rsidR="0059298E" w:rsidRPr="003032EA" w:rsidRDefault="007E14C1" w:rsidP="0059298E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59298E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Отчет об исполнении бюджета (ф.0503117);</w:t>
      </w:r>
    </w:p>
    <w:p w:rsidR="007E14C1" w:rsidRPr="003032EA" w:rsidRDefault="00E66B3B" w:rsidP="007E14C1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7E14C1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Отчет об исполнении бюджета (ф.0503117-НП);</w:t>
      </w:r>
    </w:p>
    <w:p w:rsidR="00E66B3B" w:rsidRPr="003032EA" w:rsidRDefault="007E14C1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E66B3B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Отчет о финансовых результ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атах деятельности (ф. 0503121)</w:t>
      </w:r>
      <w:r w:rsidR="00E66B3B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движени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денежных средств (ф.0503123)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дируемым расчетам (ф. 0503125)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9726C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доходов бюджета (ф. 0503127)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бюджетных обязательствах (ф. 0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503128)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22678" w:rsidRPr="003032EA" w:rsidRDefault="00E22678" w:rsidP="00E2267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бюджетных обязательствах (ф. 0503128-НП);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доходов бюджета (ф. 0503130)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нительная записка (ф. 0503160)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213665" w:rsidRPr="003032EA" w:rsidRDefault="00213665" w:rsidP="00213665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Сведения об основных направлениях деятельности</w:t>
      </w:r>
      <w:r w:rsidR="0063478A" w:rsidRPr="0063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63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</w:t>
      </w:r>
      <w:r w:rsidR="0063478A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Таблица № 1</w:t>
      </w:r>
      <w:r w:rsidR="0063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962B77" w:rsidRPr="003032EA" w:rsidRDefault="00962B77" w:rsidP="00213665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Сведения об исполнении текстовых статей закона (решения) о бюджете</w:t>
      </w:r>
      <w:r w:rsidR="0063478A" w:rsidRPr="0063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63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(Таблица № 3)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5643B3" w:rsidRPr="003032EA" w:rsidRDefault="005643B3" w:rsidP="005643B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</w:t>
      </w:r>
      <w:r w:rsidR="00FA5B2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 особенностях ведения бюджетного учета</w:t>
      </w:r>
      <w:r w:rsidR="0063478A" w:rsidRPr="0063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63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</w:t>
      </w:r>
      <w:r w:rsidR="0063478A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Таблица № 4</w:t>
      </w:r>
      <w:r w:rsidR="0063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A65C85" w:rsidRPr="003032EA" w:rsidRDefault="00DD1794" w:rsidP="00A65C85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A65C85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 проведении инвентаризации</w:t>
      </w:r>
      <w:r w:rsidR="0063478A" w:rsidRPr="0063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63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</w:t>
      </w:r>
      <w:r w:rsidR="0063478A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Таблица № 6</w:t>
      </w:r>
      <w:r w:rsidR="006347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</w:t>
      </w:r>
      <w:r w:rsidR="00A65C85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2D00E6" w:rsidRPr="003032EA" w:rsidRDefault="00E66B3B" w:rsidP="002D00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2D00E6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об исполнении бюджета (ф. 0503164);</w:t>
      </w:r>
    </w:p>
    <w:p w:rsidR="00E66B3B" w:rsidRPr="003032EA" w:rsidRDefault="002D00E6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E66B3B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об исполнении мероприятий в рамках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целевых программ (ф. 0503166)</w:t>
      </w:r>
      <w:r w:rsidR="00E66B3B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нефинансовых активов (ф. 0503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168)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кой задолженности (ф. 0503169)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</w:t>
      </w:r>
      <w:r w:rsidR="008A6952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дефицита бюджета (ф. 0503171)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D47EF7" w:rsidRPr="003032EA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Сведения о государственном (муниципальном) долге, предоставленных бюджетных кредитах» (форма 0503172)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изменениях остатк</w:t>
      </w:r>
      <w:r w:rsidR="00D47EF7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="00E130BC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валюты баланса (ф. 0503173)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D47EF7" w:rsidRPr="003032EA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Сведения о доходах бюджета от перечисления части прибыли (дивидендов) (государственных (муниципальных) унитарных предприятий, иных организаций с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lastRenderedPageBreak/>
        <w:t>государственным участием в капитале (форма 05030174)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о принятых и неисполненных обязательства получателя </w:t>
      </w:r>
      <w:r w:rsidR="00D47EF7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бюджетных средств (ф. 0503175)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  <w:proofErr w:type="gramEnd"/>
    </w:p>
    <w:p w:rsidR="00D47EF7" w:rsidRPr="003032EA" w:rsidRDefault="00D47EF7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Сведения об  остатках  денежных  средств на счетах получателя бюджетных средств (форма 0503178);</w:t>
      </w:r>
    </w:p>
    <w:p w:rsidR="00D47EF7" w:rsidRPr="003032EA" w:rsidRDefault="00D47EF7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- Сведения о вложениях в объекты недвижимого имущества, объектах незавершенного строительства (форма 0503190);</w:t>
      </w:r>
    </w:p>
    <w:p w:rsidR="00A26FD0" w:rsidRPr="003032EA" w:rsidRDefault="00A26FD0" w:rsidP="00A26FD0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- Сведения об исполнении судебных решений по денежным обязательствам учреждения </w:t>
      </w: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(форма 0503295)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;</w:t>
      </w:r>
    </w:p>
    <w:p w:rsidR="00D47EF7" w:rsidRPr="003032EA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Сведения об исполнении судебных решений по денежным обязательствам (форма 0503296)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;</w:t>
      </w:r>
    </w:p>
    <w:p w:rsidR="00D47EF7" w:rsidRPr="003032EA" w:rsidRDefault="00D47EF7" w:rsidP="00D47EF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3032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 внебюджетным фондом (ф</w:t>
      </w: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 0503324)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Справочная таблица к отчету об исполнении консолидированного бюджета субъекта Российс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кой Федерации (ф. 0503387)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120409" w:rsidRPr="003032EA" w:rsidRDefault="00120409" w:rsidP="00120409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Акт сверки;</w:t>
      </w:r>
    </w:p>
    <w:p w:rsidR="00E66B3B" w:rsidRDefault="00E66B3B" w:rsidP="004B5BE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учреждением счетов бухгалтерского учета отчетног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 финансового года (ф.0503710)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120409" w:rsidRPr="003032EA" w:rsidRDefault="00120409" w:rsidP="00120409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Расшифровка показателей, отраженных в справке по заключению счетов бюджетного учета отчетного финансового года 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(ф.0503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10);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результатах деятель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ности учреждения (ф. 0503721)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движении денежных ср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едств учреждения (ф.0503723)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консолидируемым ра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счетам учреждения (ф. 0503725)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государственного (муниципа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льного) учреждения (ф.0503730)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учреждением плана его финансово-хозяйстве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нной деятельности (ф. 0503737)</w:t>
      </w:r>
      <w:r w:rsidR="001521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(собственные доходы)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1521D8" w:rsidRPr="003032EA" w:rsidRDefault="00E66B3B" w:rsidP="001521D8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1521D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Отчет об исполнении учреждением плана его финансово-хозяйственной деятельности (ф. 0503737)</w:t>
      </w:r>
      <w:r w:rsidR="001521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(субсиди</w:t>
      </w:r>
      <w:r w:rsidR="00CD08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="001521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на выполнение государственного (муниципального) задания)</w:t>
      </w:r>
      <w:r w:rsidR="001521D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Default="00D27E02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E66B3B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Отчет об обязател</w:t>
      </w:r>
      <w:r w:rsidR="005643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ьствах учреждения (ф. 0503738)</w:t>
      </w:r>
      <w:r w:rsidRPr="00D27E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(собственные доходы)</w:t>
      </w:r>
      <w:r w:rsidR="00E66B3B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D27E02" w:rsidRDefault="00D27E02" w:rsidP="00A8491F">
      <w:pPr>
        <w:widowControl w:val="0"/>
        <w:shd w:val="clear" w:color="auto" w:fill="FFFFFF"/>
        <w:tabs>
          <w:tab w:val="left" w:pos="709"/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Отчет об обязательствах учреждения (ф. 0503738)</w:t>
      </w:r>
      <w:r w:rsidRPr="00D27E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(субсиди</w:t>
      </w:r>
      <w:r w:rsidR="00CD08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на выполнение государственного (муниципального) задания)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D27E02" w:rsidRDefault="00D27E02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Отчет об обязательствах учреждения (ф. 0503738)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</w:t>
      </w:r>
      <w:r w:rsidR="00CD08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субсидии на иные цели);</w:t>
      </w:r>
    </w:p>
    <w:p w:rsidR="00DB536F" w:rsidRPr="003032EA" w:rsidRDefault="003D3821" w:rsidP="00DB536F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обязательствах учреждения (субсидии на иные цели)</w:t>
      </w:r>
      <w:r w:rsidR="00DB536F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(ф. 0503738-НП)</w:t>
      </w:r>
      <w:r w:rsidR="00CD0866" w:rsidRPr="00CD08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CD08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(субсидии на иные цели)</w:t>
      </w:r>
      <w:r w:rsidR="00DB536F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</w:t>
      </w:r>
      <w:r w:rsidR="00C9412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нительная записка (ф. 0503760)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63478A" w:rsidRDefault="00E33024" w:rsidP="0063478A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63478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Сведения о направлениях деятельности (Таблица № 1)</w:t>
      </w:r>
      <w:r w:rsidR="0063478A"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63478A" w:rsidRDefault="0063478A" w:rsidP="0063478A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Сведения об особенностях ведения бухгалтерского учета (Таблица № 4)</w:t>
      </w:r>
      <w:r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63478A" w:rsidRDefault="0063478A" w:rsidP="0063478A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Сведения о проведении инвентаризации (Таблица № 6).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3032EA">
        <w:rPr>
          <w:rFonts w:ascii="Times New Roman" w:hAnsi="Times New Roman" w:cs="Times New Roman"/>
          <w:sz w:val="24"/>
          <w:szCs w:val="24"/>
        </w:rPr>
        <w:t xml:space="preserve"> 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Сведения об исполнении мероприятий в рамках субсидий на иные цели и на цели осуществления кап</w:t>
      </w:r>
      <w:r w:rsidR="00C9412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ит</w:t>
      </w:r>
      <w:r w:rsidR="008A2E4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альных вложений (ф. 0503766)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нефинансовых акт</w:t>
      </w:r>
      <w:r w:rsidR="00C9412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ивов учреждения (ф. 0503768)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кредиторской задолженнос</w:t>
      </w:r>
      <w:r w:rsidR="00C94128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ти учреждения (ф. 0503769)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C94128" w:rsidRPr="003032EA" w:rsidRDefault="00C94128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Сведения о финансовых вложениях учреждения (ф</w:t>
      </w: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 0503771);</w:t>
      </w:r>
    </w:p>
    <w:p w:rsidR="00C94128" w:rsidRPr="003032EA" w:rsidRDefault="00C94128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- Сведения о суммах заимствований» (ф. 0503772);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изменении остатков валюты ба</w:t>
      </w:r>
      <w:r w:rsidR="00B01E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ланса учреждения (ф.0503773)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01EB3" w:rsidRPr="003032EA" w:rsidRDefault="00B01EB3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Сведения о принятых и неиспользованных обязательствах» (ф. 0503775);</w:t>
      </w:r>
    </w:p>
    <w:p w:rsidR="00E66B3B" w:rsidRPr="003032EA" w:rsidRDefault="00E66B3B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об остатках денежных </w:t>
      </w:r>
      <w:r w:rsidR="00B01EB3"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средств учреждения (ф.0503779)</w:t>
      </w: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01EB3" w:rsidRPr="003032EA" w:rsidRDefault="00B01EB3" w:rsidP="004B5BE6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3032E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Сведения о вложениях в объекты недвижимого имущества, об объектах незавершенного строительства (ф</w:t>
      </w:r>
      <w:r w:rsidRPr="003032E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 0503790);</w:t>
      </w:r>
    </w:p>
    <w:p w:rsidR="00586FC2" w:rsidRPr="003032EA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38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="00E66B3B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должностные лица Управления культуры администрации МО «Гиагинский район».</w:t>
      </w:r>
    </w:p>
    <w:p w:rsidR="00586FC2" w:rsidRPr="003032EA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38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="00E66B3B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586FC2" w:rsidRPr="003032EA" w:rsidRDefault="004B5BE6" w:rsidP="00963A4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</w:t>
      </w:r>
      <w:r w:rsidR="00963A41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отчетности.</w:t>
      </w:r>
    </w:p>
    <w:p w:rsidR="00586FC2" w:rsidRPr="003032EA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Инвентаризация активов и обязательств.</w:t>
      </w:r>
    </w:p>
    <w:p w:rsidR="00586FC2" w:rsidRPr="003032EA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586FC2" w:rsidRPr="003032EA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Анализ исполнения и отклонения фактических показателей </w:t>
      </w:r>
      <w:proofErr w:type="gramStart"/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</w:t>
      </w:r>
      <w:proofErr w:type="gramEnd"/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плановых.</w:t>
      </w:r>
    </w:p>
    <w:p w:rsidR="00586FC2" w:rsidRPr="003032EA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итоговой оценки осуществлялось без ограничений.</w:t>
      </w:r>
    </w:p>
    <w:p w:rsidR="00586FC2" w:rsidRPr="003032EA" w:rsidRDefault="00586FC2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ходе проверки:</w:t>
      </w:r>
    </w:p>
    <w:p w:rsidR="00586FC2" w:rsidRPr="003032EA" w:rsidRDefault="004B5BE6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r w:rsidR="006A6DE5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Фактов </w:t>
      </w:r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неполноты бюджетной отчетности не выявлено.</w:t>
      </w:r>
    </w:p>
    <w:p w:rsidR="00586FC2" w:rsidRPr="003032EA" w:rsidRDefault="004B5BE6" w:rsidP="00963A41">
      <w:pPr>
        <w:widowControl w:val="0"/>
        <w:shd w:val="clear" w:color="auto" w:fill="FFFFFF"/>
        <w:tabs>
          <w:tab w:val="left" w:pos="851"/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Фактов недостоверности показателей бюджетной отчетности не выявлено.</w:t>
      </w:r>
    </w:p>
    <w:p w:rsidR="00586FC2" w:rsidRPr="003032EA" w:rsidRDefault="009106AB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</w:t>
      </w:r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Фактов, способных негативно повлиять на достоверность отчетности, не выявлено.</w:t>
      </w:r>
    </w:p>
    <w:p w:rsidR="00586FC2" w:rsidRPr="003032EA" w:rsidRDefault="009106AB" w:rsidP="004B5BE6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</w:t>
      </w:r>
      <w:r w:rsidR="00586FC2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Фактов непрозрачности и неинформативности показателей отчетности не выявлено.</w:t>
      </w:r>
    </w:p>
    <w:p w:rsidR="009106AB" w:rsidRPr="003032EA" w:rsidRDefault="009106AB" w:rsidP="009106AB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Акт по результатам внешней </w:t>
      </w:r>
      <w:proofErr w:type="gramStart"/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проверки бюджетной отчетности </w:t>
      </w:r>
      <w:r w:rsidRPr="003032E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Управления культуры</w:t>
      </w:r>
      <w:r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администрац</w:t>
      </w:r>
      <w:r w:rsidR="005A3AD0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ии</w:t>
      </w:r>
      <w:proofErr w:type="gramEnd"/>
      <w:r w:rsidR="00001733"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МО «Гиагинский район» за 202</w:t>
      </w:r>
      <w:r w:rsidR="00644AD8" w:rsidRPr="00644A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Pr="003032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 подписан без возражений и замечаний.</w:t>
      </w:r>
    </w:p>
    <w:p w:rsidR="00EE06EE" w:rsidRPr="003032EA" w:rsidRDefault="00EE06EE" w:rsidP="00EE06EE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E06EE" w:rsidRPr="003032EA" w:rsidRDefault="00EE06EE" w:rsidP="00EE06EE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3032EA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Предложения:</w:t>
      </w:r>
    </w:p>
    <w:p w:rsidR="00EE06EE" w:rsidRPr="003032EA" w:rsidRDefault="00EE06EE" w:rsidP="00EE06EE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032E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Управлению культуры</w:t>
      </w:r>
      <w:r w:rsidRPr="003032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</w:t>
      </w:r>
      <w:r w:rsidRPr="003032E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дминистрации МО «Гиагинский район»:</w:t>
      </w:r>
    </w:p>
    <w:p w:rsidR="00EE06EE" w:rsidRPr="003032EA" w:rsidRDefault="00EE06EE" w:rsidP="00EE06EE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032E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Продолжить работу, направленную на осуществление </w:t>
      </w:r>
      <w:proofErr w:type="gramStart"/>
      <w:r w:rsidRPr="003032E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3032E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соблюдением инструкций и процедур составления и исполнения бюджета, составления бюджетной отчётности и ведения бюджетного учёта.</w:t>
      </w:r>
    </w:p>
    <w:p w:rsidR="00EE06EE" w:rsidRPr="003032EA" w:rsidRDefault="00EE06EE" w:rsidP="00EE06EE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032E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2. Продолжить работу, направленную на подготовку и организацию осуществления мер, направленных на повышение результативности использования бюджетных средств.</w:t>
      </w:r>
    </w:p>
    <w:p w:rsidR="00EE06EE" w:rsidRPr="003032EA" w:rsidRDefault="00EE06EE" w:rsidP="00EE06EE">
      <w:pPr>
        <w:widowControl w:val="0"/>
        <w:tabs>
          <w:tab w:val="left" w:pos="335"/>
          <w:tab w:val="left" w:pos="851"/>
        </w:tabs>
        <w:suppressAutoHyphens/>
        <w:spacing w:before="30" w:after="30"/>
        <w:ind w:left="0" w:right="0" w:firstLine="567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032E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3. Не  допускать образование дебиторской и кредиторской задолженности.</w:t>
      </w:r>
    </w:p>
    <w:p w:rsidR="00586FC2" w:rsidRPr="003032EA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586FC2" w:rsidRPr="003032EA" w:rsidRDefault="00586FC2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63A41" w:rsidRPr="003032EA" w:rsidRDefault="00963A41" w:rsidP="00586FC2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672DD" w:rsidRPr="003032EA" w:rsidRDefault="00A672DD" w:rsidP="00D363E7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инспектор</w:t>
      </w:r>
      <w:r w:rsidR="00EE06EE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КСП</w:t>
      </w:r>
    </w:p>
    <w:p w:rsidR="003E7A35" w:rsidRPr="003032EA" w:rsidRDefault="00A672DD" w:rsidP="005A3AD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«Гиагинский район»                                         </w:t>
      </w:r>
      <w:r w:rsidR="00E66B3B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6B3B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6B3B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6B3B" w:rsidRPr="00303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Лупандина</w:t>
      </w:r>
      <w:proofErr w:type="spellEnd"/>
    </w:p>
    <w:p w:rsidR="00A47B8B" w:rsidRPr="003032EA" w:rsidRDefault="00A47B8B">
      <w:pPr>
        <w:rPr>
          <w:rFonts w:ascii="Times New Roman" w:hAnsi="Times New Roman" w:cs="Times New Roman"/>
          <w:sz w:val="24"/>
          <w:szCs w:val="24"/>
        </w:rPr>
      </w:pPr>
    </w:p>
    <w:sectPr w:rsidR="00A47B8B" w:rsidRPr="003032EA" w:rsidSect="005A3AD0">
      <w:footerReference w:type="default" r:id="rId8"/>
      <w:pgSz w:w="11909" w:h="16834"/>
      <w:pgMar w:top="1134" w:right="1134" w:bottom="1134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86" w:rsidRDefault="00A41286">
      <w:pPr>
        <w:spacing w:before="0"/>
      </w:pPr>
      <w:r>
        <w:separator/>
      </w:r>
    </w:p>
  </w:endnote>
  <w:endnote w:type="continuationSeparator" w:id="0">
    <w:p w:rsidR="00A41286" w:rsidRDefault="00A412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572974">
      <w:rPr>
        <w:noProof/>
      </w:rPr>
      <w:t>1</w:t>
    </w:r>
    <w:r>
      <w:fldChar w:fldCharType="end"/>
    </w:r>
  </w:p>
  <w:p w:rsidR="00AB0220" w:rsidRDefault="005729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86" w:rsidRDefault="00A41286">
      <w:pPr>
        <w:spacing w:before="0"/>
      </w:pPr>
      <w:r>
        <w:separator/>
      </w:r>
    </w:p>
  </w:footnote>
  <w:footnote w:type="continuationSeparator" w:id="0">
    <w:p w:rsidR="00A41286" w:rsidRDefault="00A4128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01733"/>
    <w:rsid w:val="000468F8"/>
    <w:rsid w:val="0006558A"/>
    <w:rsid w:val="00101727"/>
    <w:rsid w:val="00101D08"/>
    <w:rsid w:val="0010454A"/>
    <w:rsid w:val="00107A2D"/>
    <w:rsid w:val="00120409"/>
    <w:rsid w:val="0015202A"/>
    <w:rsid w:val="001521D8"/>
    <w:rsid w:val="001A5BBF"/>
    <w:rsid w:val="001B25B9"/>
    <w:rsid w:val="001E2CEF"/>
    <w:rsid w:val="00213665"/>
    <w:rsid w:val="0022491F"/>
    <w:rsid w:val="00241164"/>
    <w:rsid w:val="00296AB1"/>
    <w:rsid w:val="002A2BC5"/>
    <w:rsid w:val="002C6A0B"/>
    <w:rsid w:val="002D00E6"/>
    <w:rsid w:val="002D6F3F"/>
    <w:rsid w:val="003032EA"/>
    <w:rsid w:val="00321918"/>
    <w:rsid w:val="003429F5"/>
    <w:rsid w:val="003822EF"/>
    <w:rsid w:val="003D3821"/>
    <w:rsid w:val="003E0C47"/>
    <w:rsid w:val="003E0CE0"/>
    <w:rsid w:val="003E7A35"/>
    <w:rsid w:val="00431F34"/>
    <w:rsid w:val="0044503F"/>
    <w:rsid w:val="00454043"/>
    <w:rsid w:val="00467B39"/>
    <w:rsid w:val="0047151C"/>
    <w:rsid w:val="00495941"/>
    <w:rsid w:val="00497949"/>
    <w:rsid w:val="004B342F"/>
    <w:rsid w:val="004B5BE6"/>
    <w:rsid w:val="004E0ED1"/>
    <w:rsid w:val="00523D3C"/>
    <w:rsid w:val="005643B3"/>
    <w:rsid w:val="00572974"/>
    <w:rsid w:val="00586FC2"/>
    <w:rsid w:val="0059298E"/>
    <w:rsid w:val="005A3AD0"/>
    <w:rsid w:val="005C2D8C"/>
    <w:rsid w:val="005F0501"/>
    <w:rsid w:val="00601891"/>
    <w:rsid w:val="0061073B"/>
    <w:rsid w:val="0063478A"/>
    <w:rsid w:val="00644AD8"/>
    <w:rsid w:val="00676CD5"/>
    <w:rsid w:val="00690961"/>
    <w:rsid w:val="006A6DE5"/>
    <w:rsid w:val="006E020F"/>
    <w:rsid w:val="006F72B9"/>
    <w:rsid w:val="00710B20"/>
    <w:rsid w:val="007212E3"/>
    <w:rsid w:val="00763566"/>
    <w:rsid w:val="007C4D10"/>
    <w:rsid w:val="007C597C"/>
    <w:rsid w:val="007E10C2"/>
    <w:rsid w:val="007E14C1"/>
    <w:rsid w:val="007F2722"/>
    <w:rsid w:val="00835D66"/>
    <w:rsid w:val="0084689C"/>
    <w:rsid w:val="00854569"/>
    <w:rsid w:val="0086670D"/>
    <w:rsid w:val="00872709"/>
    <w:rsid w:val="0089711D"/>
    <w:rsid w:val="008A2E48"/>
    <w:rsid w:val="008A6952"/>
    <w:rsid w:val="008C0823"/>
    <w:rsid w:val="008E13CE"/>
    <w:rsid w:val="009042A3"/>
    <w:rsid w:val="009106AB"/>
    <w:rsid w:val="00917842"/>
    <w:rsid w:val="00962B77"/>
    <w:rsid w:val="00963A41"/>
    <w:rsid w:val="009663F7"/>
    <w:rsid w:val="009726C2"/>
    <w:rsid w:val="009A7AFC"/>
    <w:rsid w:val="009B2EA3"/>
    <w:rsid w:val="009B5CED"/>
    <w:rsid w:val="009C3AE9"/>
    <w:rsid w:val="009D2D76"/>
    <w:rsid w:val="009E1A08"/>
    <w:rsid w:val="009F5270"/>
    <w:rsid w:val="009F7821"/>
    <w:rsid w:val="00A26FD0"/>
    <w:rsid w:val="00A41286"/>
    <w:rsid w:val="00A47B8B"/>
    <w:rsid w:val="00A65C85"/>
    <w:rsid w:val="00A672DD"/>
    <w:rsid w:val="00A8065C"/>
    <w:rsid w:val="00A8491F"/>
    <w:rsid w:val="00AC6322"/>
    <w:rsid w:val="00AF649E"/>
    <w:rsid w:val="00B01EB3"/>
    <w:rsid w:val="00B04F7F"/>
    <w:rsid w:val="00B12518"/>
    <w:rsid w:val="00B234CD"/>
    <w:rsid w:val="00B26E0A"/>
    <w:rsid w:val="00B32C69"/>
    <w:rsid w:val="00B461DA"/>
    <w:rsid w:val="00B65C5D"/>
    <w:rsid w:val="00B74263"/>
    <w:rsid w:val="00BD3C73"/>
    <w:rsid w:val="00BF06E6"/>
    <w:rsid w:val="00BF1B9F"/>
    <w:rsid w:val="00C11FD0"/>
    <w:rsid w:val="00C15174"/>
    <w:rsid w:val="00C3432E"/>
    <w:rsid w:val="00C94128"/>
    <w:rsid w:val="00CC73D9"/>
    <w:rsid w:val="00CD0866"/>
    <w:rsid w:val="00CE2C00"/>
    <w:rsid w:val="00CF12A8"/>
    <w:rsid w:val="00CF7A30"/>
    <w:rsid w:val="00D0425F"/>
    <w:rsid w:val="00D27E02"/>
    <w:rsid w:val="00D363E7"/>
    <w:rsid w:val="00D453D2"/>
    <w:rsid w:val="00D47EF7"/>
    <w:rsid w:val="00DB536F"/>
    <w:rsid w:val="00DD1794"/>
    <w:rsid w:val="00DE7027"/>
    <w:rsid w:val="00E130BC"/>
    <w:rsid w:val="00E22678"/>
    <w:rsid w:val="00E26B23"/>
    <w:rsid w:val="00E33024"/>
    <w:rsid w:val="00E37E49"/>
    <w:rsid w:val="00E6163E"/>
    <w:rsid w:val="00E62CE2"/>
    <w:rsid w:val="00E66B3B"/>
    <w:rsid w:val="00E75955"/>
    <w:rsid w:val="00EB1630"/>
    <w:rsid w:val="00EC337B"/>
    <w:rsid w:val="00ED35CB"/>
    <w:rsid w:val="00ED7318"/>
    <w:rsid w:val="00EE06EE"/>
    <w:rsid w:val="00EE0FFD"/>
    <w:rsid w:val="00EE3C56"/>
    <w:rsid w:val="00F12B93"/>
    <w:rsid w:val="00F13A57"/>
    <w:rsid w:val="00F655CF"/>
    <w:rsid w:val="00F83E7C"/>
    <w:rsid w:val="00F905C2"/>
    <w:rsid w:val="00FA5B2E"/>
    <w:rsid w:val="00FB5197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Лупандина Наталья Сергеевна</cp:lastModifiedBy>
  <cp:revision>37</cp:revision>
  <cp:lastPrinted>2022-03-28T06:22:00Z</cp:lastPrinted>
  <dcterms:created xsi:type="dcterms:W3CDTF">2016-04-06T09:27:00Z</dcterms:created>
  <dcterms:modified xsi:type="dcterms:W3CDTF">2022-04-14T11:20:00Z</dcterms:modified>
</cp:coreProperties>
</file>