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 xml:space="preserve">Коррупция — </w:t>
      </w:r>
      <w:r w:rsidR="004A02BF" w:rsidRPr="004A02BF">
        <w:rPr>
          <w:sz w:val="28"/>
          <w:szCs w:val="28"/>
        </w:rPr>
        <w:t>очевидное зло всей системы социального управления, присущее всем государствам и существовавшее во все времена. Она лишь с разной степенью активности воздействовала на систему общественных отношений, иногда, набирая такую степень активности, что превращалась в регулятор этих отношений, подменяя право или действуя параллельно с ним, тем самым ослабляя государственную власть. Такое поведение коррупции провоцирует легальных обладателей власти к противодействию ей.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управления.</w:t>
      </w:r>
    </w:p>
    <w:p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lastRenderedPageBreak/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lastRenderedPageBreak/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 xml:space="preserve"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</w:t>
      </w:r>
      <w:r w:rsidRPr="00782E40">
        <w:rPr>
          <w:color w:val="000000"/>
          <w:sz w:val="28"/>
          <w:szCs w:val="28"/>
        </w:rPr>
        <w:lastRenderedPageBreak/>
        <w:t>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 xml:space="preserve">При выявлении любого из этих обстоятельств органы предварительного </w:t>
      </w:r>
      <w:r w:rsidR="005A5ADA" w:rsidRPr="00782E40">
        <w:rPr>
          <w:color w:val="000000"/>
          <w:sz w:val="28"/>
          <w:szCs w:val="28"/>
        </w:rPr>
        <w:lastRenderedPageBreak/>
        <w:t>следствия, прокурор или суд обязаны освободить взяткодателя от уголовной ответственности.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960D2E" w:rsidRDefault="00960D2E" w:rsidP="005A5ADA">
      <w:pPr>
        <w:jc w:val="both"/>
        <w:rPr>
          <w:color w:val="000000"/>
          <w:sz w:val="28"/>
          <w:szCs w:val="28"/>
        </w:rPr>
      </w:pPr>
    </w:p>
    <w:p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Хаджимовым,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какие имеются вещественные доказательства или документы, подтверждающие ваше заявление, другие свидетели нарушения;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  <w:bookmarkStart w:id="0" w:name="_GoBack"/>
      <w:bookmarkEnd w:id="0"/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66" w:rsidRDefault="00015866">
      <w:r>
        <w:separator/>
      </w:r>
    </w:p>
  </w:endnote>
  <w:endnote w:type="continuationSeparator" w:id="0">
    <w:p w:rsidR="00015866" w:rsidRDefault="0001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66" w:rsidRDefault="00015866">
      <w:r>
        <w:rPr>
          <w:color w:val="000000"/>
        </w:rPr>
        <w:separator/>
      </w:r>
    </w:p>
  </w:footnote>
  <w:footnote w:type="continuationSeparator" w:id="0">
    <w:p w:rsidR="00015866" w:rsidRDefault="0001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15866"/>
    <w:rsid w:val="00080D52"/>
    <w:rsid w:val="000938D9"/>
    <w:rsid w:val="0010705A"/>
    <w:rsid w:val="00141272"/>
    <w:rsid w:val="002E66E9"/>
    <w:rsid w:val="00394D7E"/>
    <w:rsid w:val="003E6B86"/>
    <w:rsid w:val="004A02BF"/>
    <w:rsid w:val="004B3084"/>
    <w:rsid w:val="00585BEA"/>
    <w:rsid w:val="005A5ADA"/>
    <w:rsid w:val="005B0BCC"/>
    <w:rsid w:val="00745706"/>
    <w:rsid w:val="007D61AD"/>
    <w:rsid w:val="008E71EB"/>
    <w:rsid w:val="008F436E"/>
    <w:rsid w:val="009342C9"/>
    <w:rsid w:val="009533A5"/>
    <w:rsid w:val="00960D2E"/>
    <w:rsid w:val="00A07EC6"/>
    <w:rsid w:val="00A91ACB"/>
    <w:rsid w:val="00B233EC"/>
    <w:rsid w:val="00B81067"/>
    <w:rsid w:val="00B96320"/>
    <w:rsid w:val="00BD7C09"/>
    <w:rsid w:val="00C808F1"/>
    <w:rsid w:val="00CE4502"/>
    <w:rsid w:val="00D43F7A"/>
    <w:rsid w:val="00DD595B"/>
    <w:rsid w:val="00EB1236"/>
    <w:rsid w:val="00EC0703"/>
    <w:rsid w:val="00F01C7C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32F0-2026-4FC9-BB2B-0630562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Шагундокова Елена Валерьевна</cp:lastModifiedBy>
  <cp:revision>4</cp:revision>
  <cp:lastPrinted>2020-01-15T07:13:00Z</cp:lastPrinted>
  <dcterms:created xsi:type="dcterms:W3CDTF">2020-07-15T11:00:00Z</dcterms:created>
  <dcterms:modified xsi:type="dcterms:W3CDTF">2020-07-15T12:40:00Z</dcterms:modified>
</cp:coreProperties>
</file>